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4F" w:rsidRDefault="008A18E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 ПОСТАВКИ №___________</w:t>
      </w:r>
    </w:p>
    <w:p w:rsidR="00B8544F" w:rsidRDefault="00B8544F">
      <w:pPr>
        <w:jc w:val="both"/>
        <w:rPr>
          <w:sz w:val="20"/>
          <w:szCs w:val="20"/>
        </w:rPr>
      </w:pPr>
    </w:p>
    <w:p w:rsidR="00B8544F" w:rsidRDefault="008A18E3">
      <w:p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Минск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___»_______________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3 г.</w:t>
      </w:r>
    </w:p>
    <w:p w:rsidR="00B8544F" w:rsidRDefault="00B8544F">
      <w:pPr>
        <w:ind w:firstLine="180"/>
        <w:jc w:val="both"/>
        <w:rPr>
          <w:sz w:val="20"/>
          <w:szCs w:val="20"/>
        </w:rPr>
      </w:pPr>
    </w:p>
    <w:p w:rsidR="00B8544F" w:rsidRDefault="008A18E3">
      <w:pPr>
        <w:ind w:right="-5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СОАО «Коммунарка»,</w:t>
      </w:r>
      <w:r>
        <w:rPr>
          <w:sz w:val="20"/>
          <w:szCs w:val="20"/>
        </w:rPr>
        <w:t xml:space="preserve"> именуемое  в дальнейшем </w:t>
      </w:r>
      <w:r>
        <w:rPr>
          <w:b/>
          <w:sz w:val="20"/>
          <w:szCs w:val="20"/>
        </w:rPr>
        <w:t>«Поставщик»</w:t>
      </w:r>
      <w:r>
        <w:rPr>
          <w:sz w:val="20"/>
          <w:szCs w:val="20"/>
        </w:rPr>
        <w:t>, в лице</w:t>
      </w:r>
      <w:r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>, действующего на основании</w:t>
      </w:r>
      <w:r>
        <w:rPr>
          <w:sz w:val="20"/>
          <w:szCs w:val="20"/>
        </w:rPr>
        <w:t xml:space="preserve"> доверенности _________________________________</w:t>
      </w:r>
      <w:r>
        <w:rPr>
          <w:sz w:val="20"/>
          <w:szCs w:val="20"/>
        </w:rPr>
        <w:t>, с одной стороны, и</w:t>
      </w:r>
      <w:r>
        <w:rPr>
          <w:sz w:val="20"/>
          <w:szCs w:val="20"/>
        </w:rPr>
        <w:t xml:space="preserve"> __________________________________________________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именуемое в дальнейшем </w:t>
      </w:r>
      <w:r>
        <w:rPr>
          <w:b/>
          <w:sz w:val="20"/>
          <w:szCs w:val="20"/>
        </w:rPr>
        <w:t>«Покупатель»,</w:t>
      </w:r>
      <w:r>
        <w:rPr>
          <w:sz w:val="20"/>
          <w:szCs w:val="20"/>
        </w:rPr>
        <w:t xml:space="preserve"> в лице ______________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_____________________________________, действующего на основании ____________________________________________________________________, с другой стороны, вместе именуемые Стороны, заключили настоящий Договор о нижеследующем:</w:t>
      </w:r>
    </w:p>
    <w:p w:rsidR="00B8544F" w:rsidRDefault="00B8544F">
      <w:pPr>
        <w:ind w:right="-5" w:firstLine="540"/>
        <w:jc w:val="both"/>
        <w:rPr>
          <w:sz w:val="20"/>
          <w:szCs w:val="20"/>
        </w:rPr>
      </w:pPr>
    </w:p>
    <w:p w:rsidR="00B8544F" w:rsidRDefault="008A18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1.1. В соо</w:t>
      </w:r>
      <w:r>
        <w:rPr>
          <w:sz w:val="20"/>
          <w:szCs w:val="20"/>
        </w:rPr>
        <w:t xml:space="preserve">тветствии с настоящим </w:t>
      </w:r>
      <w:r>
        <w:rPr>
          <w:sz w:val="20"/>
          <w:szCs w:val="20"/>
        </w:rPr>
        <w:t>Д</w:t>
      </w:r>
      <w:r>
        <w:rPr>
          <w:sz w:val="20"/>
          <w:szCs w:val="20"/>
        </w:rPr>
        <w:t xml:space="preserve">оговором Поставщик обязуется изготовить и поставить, а Покупатель принять и оплатить Кондитерские изделия, именуемые в дальнейшем </w:t>
      </w:r>
      <w:r>
        <w:rPr>
          <w:sz w:val="20"/>
          <w:szCs w:val="20"/>
        </w:rPr>
        <w:noBreakHyphen/>
        <w:t xml:space="preserve"> Товар.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proofErr w:type="spellStart"/>
      <w:r>
        <w:rPr>
          <w:sz w:val="20"/>
          <w:szCs w:val="20"/>
        </w:rPr>
        <w:t>Товарно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транспортные накладные (далее </w:t>
      </w:r>
      <w:r>
        <w:rPr>
          <w:sz w:val="20"/>
          <w:szCs w:val="20"/>
        </w:rPr>
        <w:noBreakHyphen/>
        <w:t xml:space="preserve"> ТТН) выписываются Поставщиком на каждую партию </w:t>
      </w:r>
      <w:r>
        <w:rPr>
          <w:sz w:val="20"/>
          <w:szCs w:val="20"/>
        </w:rPr>
        <w:t>Товара, поставляемую Покупателю в количестве и ассортименте на основании согласованной дополнительно Сторонами заявки с уч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том возможности Поставщика, в соответствии с прейскурантом цен на дату отгрузки.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Цель приобретения Товара: собственное потреблен</w:t>
      </w:r>
      <w:r>
        <w:rPr>
          <w:sz w:val="20"/>
          <w:szCs w:val="20"/>
        </w:rPr>
        <w:t xml:space="preserve">ие / розничная торговля </w:t>
      </w:r>
      <w:r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>. Покупатель обязуется реализовывать Товар строго в соответствии с целями его приобретения установленными настоящим пунктом Договора.</w:t>
      </w:r>
    </w:p>
    <w:p w:rsidR="00B8544F" w:rsidRDefault="008A18E3">
      <w:pPr>
        <w:tabs>
          <w:tab w:val="left" w:pos="-540"/>
        </w:tabs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Реализация Покупателем Товара за пределами территории Республики Беларусь</w:t>
      </w:r>
      <w:r>
        <w:rPr>
          <w:sz w:val="20"/>
          <w:szCs w:val="20"/>
        </w:rPr>
        <w:t xml:space="preserve">, а также реализация Товара через электронные торговые площадки - </w:t>
      </w:r>
      <w:proofErr w:type="spellStart"/>
      <w:r>
        <w:rPr>
          <w:sz w:val="20"/>
          <w:szCs w:val="20"/>
        </w:rPr>
        <w:t>маркетплейсы</w:t>
      </w:r>
      <w:proofErr w:type="spellEnd"/>
      <w:r>
        <w:rPr>
          <w:sz w:val="20"/>
          <w:szCs w:val="20"/>
        </w:rPr>
        <w:t>, в том числе иностранные (</w:t>
      </w:r>
      <w:hyperlink r:id="rId7" w:tooltip="Яндекс.Маркет" w:history="1">
        <w:r>
          <w:rPr>
            <w:sz w:val="20"/>
            <w:szCs w:val="20"/>
          </w:rPr>
          <w:t>«</w:t>
        </w:r>
        <w:proofErr w:type="spellStart"/>
        <w:r>
          <w:rPr>
            <w:sz w:val="20"/>
            <w:szCs w:val="20"/>
          </w:rPr>
          <w:t>Яндекс.Маркет</w:t>
        </w:r>
        <w:proofErr w:type="spellEnd"/>
        <w:r>
          <w:rPr>
            <w:sz w:val="20"/>
            <w:szCs w:val="20"/>
          </w:rPr>
          <w:t>»</w:t>
        </w:r>
      </w:hyperlink>
      <w:r>
        <w:rPr>
          <w:sz w:val="20"/>
          <w:szCs w:val="20"/>
        </w:rPr>
        <w:t xml:space="preserve">, </w:t>
      </w:r>
      <w:hyperlink r:id="rId8" w:tooltip="Wildberries" w:history="1">
        <w:proofErr w:type="spellStart"/>
        <w:r>
          <w:rPr>
            <w:sz w:val="20"/>
            <w:szCs w:val="20"/>
          </w:rPr>
          <w:t>Wildberries</w:t>
        </w:r>
        <w:proofErr w:type="spellEnd"/>
      </w:hyperlink>
      <w:r>
        <w:rPr>
          <w:sz w:val="20"/>
          <w:szCs w:val="20"/>
        </w:rPr>
        <w:t xml:space="preserve">, </w:t>
      </w:r>
      <w:hyperlink r:id="rId9" w:tooltip="Ozon" w:history="1">
        <w:proofErr w:type="spellStart"/>
        <w:r>
          <w:rPr>
            <w:sz w:val="20"/>
            <w:szCs w:val="20"/>
          </w:rPr>
          <w:t>Ozon</w:t>
        </w:r>
        <w:proofErr w:type="spellEnd"/>
      </w:hyperlink>
      <w:r>
        <w:rPr>
          <w:sz w:val="20"/>
          <w:szCs w:val="20"/>
        </w:rPr>
        <w:t xml:space="preserve">, </w:t>
      </w:r>
      <w:hyperlink r:id="rId10" w:tooltip="СберМегаМаркет" w:history="1">
        <w:r>
          <w:rPr>
            <w:sz w:val="20"/>
            <w:szCs w:val="20"/>
          </w:rPr>
          <w:t>«</w:t>
        </w:r>
        <w:proofErr w:type="spellStart"/>
        <w:r>
          <w:rPr>
            <w:sz w:val="20"/>
            <w:szCs w:val="20"/>
          </w:rPr>
          <w:t>СберМегаМаркет</w:t>
        </w:r>
        <w:proofErr w:type="spellEnd"/>
        <w:r>
          <w:rPr>
            <w:sz w:val="20"/>
            <w:szCs w:val="20"/>
          </w:rPr>
          <w:t>»</w:t>
        </w:r>
      </w:hyperlink>
      <w:r>
        <w:rPr>
          <w:sz w:val="20"/>
          <w:szCs w:val="20"/>
        </w:rPr>
        <w:t xml:space="preserve"> и др.),</w:t>
      </w:r>
      <w:r>
        <w:rPr>
          <w:sz w:val="20"/>
          <w:szCs w:val="20"/>
        </w:rPr>
        <w:t xml:space="preserve"> допускается только с письменного согласия Поставщика</w:t>
      </w:r>
      <w:r>
        <w:rPr>
          <w:sz w:val="20"/>
          <w:szCs w:val="20"/>
        </w:rPr>
        <w:t>. Письменное согласие оформляется на фирменном бланке Поставщика за подписью генерального директора или заместителя генераль</w:t>
      </w:r>
      <w:r>
        <w:rPr>
          <w:sz w:val="20"/>
          <w:szCs w:val="20"/>
        </w:rPr>
        <w:t>ного директора и заверяется печатью Поставщика.</w:t>
      </w:r>
    </w:p>
    <w:p w:rsidR="00B8544F" w:rsidRDefault="00B8544F">
      <w:pPr>
        <w:tabs>
          <w:tab w:val="left" w:pos="-540"/>
        </w:tabs>
        <w:ind w:firstLine="540"/>
        <w:jc w:val="center"/>
        <w:rPr>
          <w:b/>
          <w:sz w:val="20"/>
          <w:szCs w:val="20"/>
        </w:rPr>
      </w:pPr>
    </w:p>
    <w:p w:rsidR="00B8544F" w:rsidRDefault="008A18E3">
      <w:pPr>
        <w:tabs>
          <w:tab w:val="left" w:pos="-540"/>
        </w:tabs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КАЧЕСТВО, УПАКОВКА, МАРКИРОВКА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Качество Товара должно соответствовать требованиям действующего ТР ТС 021/2011 «О безопасности пищевой продукции» и стандартов Республики Беларусь на кондитерские издел</w:t>
      </w:r>
      <w:r>
        <w:rPr>
          <w:sz w:val="20"/>
          <w:szCs w:val="20"/>
        </w:rPr>
        <w:t>ия (СТБ 2211-2011, ГОСТ 4570-93, ГОСТ 30058-95, СТБ 2374-2014, СТБ 934-93, СТБ 1205-2012, СТБ 1204-2012, ГОСТ 6478, ТУ РБ 101191824.683-2000, СТБ 1202-2014). Поставщик гарантирует качество поставляемой продукции при соблюдении Покупателем температуры возду</w:t>
      </w:r>
      <w:r>
        <w:rPr>
          <w:sz w:val="20"/>
          <w:szCs w:val="20"/>
        </w:rPr>
        <w:t>ха при транспортировании и хранении от +15 до +21 °С и относительной влажности воздуха не более 70</w:t>
      </w:r>
      <w:r w:rsidRPr="00DF36A9">
        <w:rPr>
          <w:sz w:val="20"/>
          <w:szCs w:val="20"/>
        </w:rPr>
        <w:t>-75</w:t>
      </w:r>
      <w:r>
        <w:rPr>
          <w:sz w:val="20"/>
          <w:szCs w:val="20"/>
        </w:rPr>
        <w:t>%.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Маркировка и упаковка Товара соответствует требованиям ТР ТС 022/2011 «Пищевая продукция в части е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 маркировки», ТР ТС 005/2011 «О безопасности упа</w:t>
      </w:r>
      <w:r>
        <w:rPr>
          <w:sz w:val="20"/>
          <w:szCs w:val="20"/>
        </w:rPr>
        <w:t>ковки».</w:t>
      </w:r>
    </w:p>
    <w:p w:rsidR="00B8544F" w:rsidRDefault="008A18E3">
      <w:pPr>
        <w:tabs>
          <w:tab w:val="left" w:pos="-540"/>
        </w:tabs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2.3. Товар, поставляемый по настоящему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оговору, должен отгружаться в упаковке, соответствующей характеру поставляемого Товара. При этом упаковка должна обеспечивать сохранность Товара и предохранять его от повреждений при перевозке автомобильным транспортом.</w:t>
      </w:r>
    </w:p>
    <w:p w:rsidR="00B8544F" w:rsidRDefault="008A18E3">
      <w:pPr>
        <w:tabs>
          <w:tab w:val="left" w:pos="-54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 При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мка Товара по количеству и </w:t>
      </w:r>
      <w:r>
        <w:rPr>
          <w:sz w:val="20"/>
          <w:szCs w:val="20"/>
        </w:rPr>
        <w:t>качеству производится в соответствии с требованиями Положения о при</w:t>
      </w:r>
      <w:r>
        <w:rPr>
          <w:sz w:val="20"/>
          <w:szCs w:val="20"/>
        </w:rPr>
        <w:t>ё</w:t>
      </w:r>
      <w:r>
        <w:rPr>
          <w:sz w:val="20"/>
          <w:szCs w:val="20"/>
        </w:rPr>
        <w:t>мке товаров по количеству и качеству, утвержд</w:t>
      </w:r>
      <w:r>
        <w:rPr>
          <w:sz w:val="20"/>
          <w:szCs w:val="20"/>
        </w:rPr>
        <w:t>ё</w:t>
      </w:r>
      <w:r>
        <w:rPr>
          <w:sz w:val="20"/>
          <w:szCs w:val="20"/>
        </w:rPr>
        <w:t>нно</w:t>
      </w:r>
      <w:r>
        <w:rPr>
          <w:sz w:val="20"/>
          <w:szCs w:val="20"/>
        </w:rPr>
        <w:t>го</w:t>
      </w:r>
      <w:r>
        <w:rPr>
          <w:sz w:val="20"/>
          <w:szCs w:val="20"/>
        </w:rPr>
        <w:t xml:space="preserve"> постановлением Совета Министров Республики Беларусь №1290 от 03.09.2008 года.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2.5. В случае поставки Товара Покупателю на поддонах, подд</w:t>
      </w:r>
      <w:r>
        <w:rPr>
          <w:sz w:val="20"/>
          <w:szCs w:val="20"/>
        </w:rPr>
        <w:t>оны подлежат возврату Поставщику в полном объ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ме. Поставщик устанавливает на поддоны цену в виде залога, которая является залоговой стоимостью поддонов и указывается в ТТН. Покупатель </w:t>
      </w:r>
      <w:r>
        <w:rPr>
          <w:sz w:val="20"/>
          <w:szCs w:val="20"/>
        </w:rPr>
        <w:t>за свой счёт либо обратным рейсом при очередной поставке партии Товара о</w:t>
      </w:r>
      <w:r>
        <w:rPr>
          <w:sz w:val="20"/>
          <w:szCs w:val="20"/>
        </w:rPr>
        <w:t xml:space="preserve">бязан  </w:t>
      </w:r>
      <w:r>
        <w:rPr>
          <w:sz w:val="20"/>
          <w:szCs w:val="20"/>
        </w:rPr>
        <w:t xml:space="preserve"> в</w:t>
      </w:r>
      <w:r>
        <w:rPr>
          <w:sz w:val="20"/>
          <w:szCs w:val="20"/>
        </w:rPr>
        <w:t>озвратить</w:t>
      </w:r>
      <w:r>
        <w:rPr>
          <w:sz w:val="20"/>
          <w:szCs w:val="20"/>
        </w:rPr>
        <w:t xml:space="preserve"> поддоны в полном объ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ме в течение </w:t>
      </w: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>(ста</w:t>
      </w:r>
      <w:r>
        <w:rPr>
          <w:sz w:val="20"/>
          <w:szCs w:val="20"/>
        </w:rPr>
        <w:t xml:space="preserve">) календарных дней </w:t>
      </w:r>
      <w:r>
        <w:rPr>
          <w:sz w:val="20"/>
          <w:szCs w:val="20"/>
        </w:rPr>
        <w:t>со</w:t>
      </w:r>
      <w:r>
        <w:rPr>
          <w:sz w:val="20"/>
          <w:szCs w:val="20"/>
        </w:rPr>
        <w:t xml:space="preserve"> дня, следующего за днем получения Товара Покупателем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>В</w:t>
      </w:r>
      <w:r>
        <w:rPr>
          <w:sz w:val="20"/>
          <w:szCs w:val="20"/>
        </w:rPr>
        <w:t xml:space="preserve"> случае возврата поддонов обратным рейсом при очередной поставке партии Товара Покупатель готовит поддоны согласно ТТ</w:t>
      </w:r>
      <w:r>
        <w:rPr>
          <w:sz w:val="20"/>
          <w:szCs w:val="20"/>
        </w:rPr>
        <w:t xml:space="preserve">Н к отгрузке к моменту прибытия транспорта Поставщика. Погрузка поддонов производится на складе Покупателя после разгрузки транспорта Поставщика. Поддоны должны быть возвращены в исправном состоянии, пригодном для их последующего использования. Оформление </w:t>
      </w:r>
      <w:r>
        <w:rPr>
          <w:sz w:val="20"/>
          <w:szCs w:val="20"/>
        </w:rPr>
        <w:t>ТТН на возврат поддонов производится в соответствии с требованиями законодательства Республики Беларусь.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просрочки возврата/невозврата поддонов, их утери либо повреждении, данные поддоны считаются </w:t>
      </w:r>
      <w:proofErr w:type="gramStart"/>
      <w:r>
        <w:rPr>
          <w:sz w:val="20"/>
          <w:szCs w:val="20"/>
        </w:rPr>
        <w:t>переданными  в</w:t>
      </w:r>
      <w:proofErr w:type="gramEnd"/>
      <w:r>
        <w:rPr>
          <w:sz w:val="20"/>
          <w:szCs w:val="20"/>
        </w:rPr>
        <w:t xml:space="preserve"> собственность Покупателя и Покупате</w:t>
      </w:r>
      <w:r>
        <w:rPr>
          <w:sz w:val="20"/>
          <w:szCs w:val="20"/>
        </w:rPr>
        <w:t>ль обязан оплатить их по залоговой стоимости с учётом НДС в размере 20 (двадцать) процентов в течение 10 (десяти) банковских дней после перехода к нему права собственности на поддоны.</w:t>
      </w:r>
    </w:p>
    <w:p w:rsidR="00B8544F" w:rsidRDefault="008A18E3">
      <w:pPr>
        <w:tabs>
          <w:tab w:val="left" w:pos="-540"/>
        </w:tabs>
        <w:ind w:right="-6" w:firstLine="580"/>
        <w:jc w:val="both"/>
        <w:rPr>
          <w:sz w:val="20"/>
          <w:szCs w:val="20"/>
        </w:rPr>
      </w:pPr>
      <w:r>
        <w:rPr>
          <w:sz w:val="20"/>
          <w:szCs w:val="20"/>
        </w:rPr>
        <w:t>2.6. На каждую единицу Товара, на которую технически возможно нанесение штрихового идентификационного кода, должен быть нанес</w:t>
      </w:r>
      <w:r>
        <w:rPr>
          <w:sz w:val="20"/>
          <w:szCs w:val="20"/>
        </w:rPr>
        <w:t>ё</w:t>
      </w:r>
      <w:r>
        <w:rPr>
          <w:sz w:val="20"/>
          <w:szCs w:val="20"/>
        </w:rPr>
        <w:t>н товарный номер в виде штрихового идентификационного кода в соответствии с законодательством Республики Беларусь.</w:t>
      </w:r>
    </w:p>
    <w:p w:rsidR="00B8544F" w:rsidRDefault="00B8544F">
      <w:pPr>
        <w:tabs>
          <w:tab w:val="left" w:pos="-540"/>
        </w:tabs>
        <w:ind w:right="-6" w:firstLine="540"/>
        <w:jc w:val="center"/>
        <w:rPr>
          <w:b/>
          <w:sz w:val="20"/>
          <w:szCs w:val="20"/>
        </w:rPr>
      </w:pPr>
    </w:p>
    <w:p w:rsidR="00B8544F" w:rsidRDefault="008A18E3">
      <w:pPr>
        <w:tabs>
          <w:tab w:val="left" w:pos="-540"/>
        </w:tabs>
        <w:ind w:right="-6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СРОКИ И УСЛ</w:t>
      </w:r>
      <w:r>
        <w:rPr>
          <w:b/>
          <w:sz w:val="20"/>
          <w:szCs w:val="20"/>
        </w:rPr>
        <w:t>ОВИЯ ПОСТАВКИ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Количество, ассортимент и сроки поставки определяются предварительно согласованной заявкой с уч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том возможностей Поставщика. Покупатель направляет (размещает) заявки Поставщику в письменной форме, в том числе посредством факсимильной и (</w:t>
      </w:r>
      <w:r>
        <w:rPr>
          <w:sz w:val="20"/>
          <w:szCs w:val="20"/>
        </w:rPr>
        <w:t>или) электронной связи.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Срок исполнения заявки Поставщиком – 3 (три) банковских дня с момента согласования заявки. 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3.3. Датой отгрузки Товара является дата выписки Поставщиком ТТН.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 Доставка Товара осуществляется транспортом Поставщика на условия</w:t>
      </w:r>
      <w:r>
        <w:rPr>
          <w:sz w:val="20"/>
          <w:szCs w:val="20"/>
        </w:rPr>
        <w:t>х Франко-с</w:t>
      </w:r>
      <w:r w:rsidRPr="00DF36A9">
        <w:rPr>
          <w:sz w:val="20"/>
          <w:szCs w:val="20"/>
        </w:rPr>
        <w:t>клад</w:t>
      </w:r>
      <w:r>
        <w:rPr>
          <w:sz w:val="20"/>
          <w:szCs w:val="20"/>
        </w:rPr>
        <w:t xml:space="preserve"> назначения или транспортом Покупателя на условиях Франко-склад изготовителя. Транспортное средство Покупателя должно иметь санитарный паспорт. 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3.5. Поставщик обязуется передать на поставленный Товар следующие документы: ТТН, качественное уд</w:t>
      </w:r>
      <w:r>
        <w:rPr>
          <w:sz w:val="20"/>
          <w:szCs w:val="20"/>
        </w:rPr>
        <w:t>остоверение и копии других документов, предоставление которых предусмотрено законодательством Республики Беларусь.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Покупатель обязуется осуществить разгрузку автотранспорта, направленного Поставщиком, в течение 1 часа, с обязательным указанием в ТТН, </w:t>
      </w:r>
      <w:r>
        <w:rPr>
          <w:sz w:val="20"/>
          <w:szCs w:val="20"/>
        </w:rPr>
        <w:t>в соответствии с постановлением Министерства финансов Республики Беларусь №58 от 30 июня 2016 г., точного времени прибытия водителя под разгрузку и убытия после е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 окончания в часах и минутах, время простоя под разгрузкой и дополнительные операции. Время о</w:t>
      </w:r>
      <w:r>
        <w:rPr>
          <w:sz w:val="20"/>
          <w:szCs w:val="20"/>
        </w:rPr>
        <w:t>жидания разгрузки засчитывается в вышеуказанный период. Время прибытия транспортного средства под разгрузку исчисляется с момента предъявления грузополучателю ТТН в пункте разгрузки. Разгрузка считается оконченной после вручения водителю (экспедитору) офор</w:t>
      </w:r>
      <w:r>
        <w:rPr>
          <w:sz w:val="20"/>
          <w:szCs w:val="20"/>
        </w:rPr>
        <w:t>мленной ТТН.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Покупатель обязан предоставить Поставщику в письменном виде перечень пунктов назначения поставки (пунктов разгрузки) Товара с указанием адресов.</w:t>
      </w:r>
    </w:p>
    <w:p w:rsidR="00B8544F" w:rsidRDefault="00B8544F">
      <w:pPr>
        <w:tabs>
          <w:tab w:val="left" w:pos="-540"/>
        </w:tabs>
        <w:ind w:right="-6" w:firstLine="540"/>
        <w:jc w:val="center"/>
        <w:rPr>
          <w:b/>
          <w:sz w:val="20"/>
          <w:szCs w:val="20"/>
        </w:rPr>
      </w:pPr>
    </w:p>
    <w:p w:rsidR="00B8544F" w:rsidRDefault="008A18E3">
      <w:pPr>
        <w:tabs>
          <w:tab w:val="left" w:pos="-540"/>
        </w:tabs>
        <w:ind w:right="-6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ЦЕНЫ И ПОРЯДОК РАСЧ</w:t>
      </w:r>
      <w:r>
        <w:rPr>
          <w:b/>
          <w:sz w:val="20"/>
          <w:szCs w:val="20"/>
        </w:rPr>
        <w:t>Ё</w:t>
      </w:r>
      <w:r>
        <w:rPr>
          <w:b/>
          <w:sz w:val="20"/>
          <w:szCs w:val="20"/>
        </w:rPr>
        <w:t>ТА</w:t>
      </w:r>
      <w:r>
        <w:rPr>
          <w:b/>
          <w:sz w:val="20"/>
          <w:szCs w:val="20"/>
        </w:rPr>
        <w:t>, ОТВЕТСТВЕННОСТЬ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Цены на Товар устанавливаются Поставщиком в </w:t>
      </w:r>
      <w:r>
        <w:rPr>
          <w:sz w:val="20"/>
          <w:szCs w:val="20"/>
        </w:rPr>
        <w:t>белорусских рублях согласно Прейскуранту цен, действующему на момент отгрузки каждой партии Товара. Изменение цен на Товар производится Поставщиком при изменении цен на сырье, материалы, энергоносители, а также с изменением законодательства Республики Бела</w:t>
      </w:r>
      <w:r>
        <w:rPr>
          <w:sz w:val="20"/>
          <w:szCs w:val="20"/>
        </w:rPr>
        <w:t xml:space="preserve">русь. 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4.1.1. </w:t>
      </w:r>
      <w:r>
        <w:rPr>
          <w:sz w:val="20"/>
          <w:szCs w:val="20"/>
        </w:rPr>
        <w:t>Покупатель обязуется установить торговую надбавку не более 20 % на следующие виды шоколада торговой марки «Президент»: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- шоколад «Президент» горький без сахара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72%, 90г;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72%, 100г; 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78%, 100г;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85%, 100г</w:t>
      </w:r>
      <w:r>
        <w:rPr>
          <w:sz w:val="20"/>
          <w:szCs w:val="20"/>
        </w:rPr>
        <w:t>;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- шоколад «Президент» молочный 100г.</w:t>
      </w:r>
    </w:p>
    <w:p w:rsidR="00B8544F" w:rsidRDefault="008A18E3">
      <w:pPr>
        <w:pStyle w:val="af8"/>
        <w:widowControl/>
        <w:tabs>
          <w:tab w:val="left" w:pos="-540"/>
          <w:tab w:val="left" w:pos="1134"/>
        </w:tabs>
        <w:spacing w:after="0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Покупатель оплачивает Товар пут</w:t>
      </w:r>
      <w:r>
        <w:rPr>
          <w:rFonts w:ascii="Times New Roman" w:hAnsi="Times New Roman"/>
          <w:sz w:val="20"/>
        </w:rPr>
        <w:t>ё</w:t>
      </w:r>
      <w:r>
        <w:rPr>
          <w:rFonts w:ascii="Times New Roman" w:hAnsi="Times New Roman"/>
          <w:sz w:val="20"/>
        </w:rPr>
        <w:t>м перечисления денежных средств на расч</w:t>
      </w:r>
      <w:r>
        <w:rPr>
          <w:rFonts w:ascii="Times New Roman" w:hAnsi="Times New Roman"/>
          <w:sz w:val="20"/>
        </w:rPr>
        <w:t>ё</w:t>
      </w:r>
      <w:r>
        <w:rPr>
          <w:rFonts w:ascii="Times New Roman" w:hAnsi="Times New Roman"/>
          <w:sz w:val="20"/>
        </w:rPr>
        <w:t>тный сч</w:t>
      </w:r>
      <w:r>
        <w:rPr>
          <w:rFonts w:ascii="Times New Roman" w:hAnsi="Times New Roman"/>
          <w:sz w:val="20"/>
        </w:rPr>
        <w:t>ё</w:t>
      </w:r>
      <w:r>
        <w:rPr>
          <w:rFonts w:ascii="Times New Roman" w:hAnsi="Times New Roman"/>
          <w:sz w:val="20"/>
        </w:rPr>
        <w:t>т Поставщика плат</w:t>
      </w:r>
      <w:r>
        <w:rPr>
          <w:rFonts w:ascii="Times New Roman" w:hAnsi="Times New Roman"/>
          <w:sz w:val="20"/>
        </w:rPr>
        <w:t>ё</w:t>
      </w:r>
      <w:r>
        <w:rPr>
          <w:rFonts w:ascii="Times New Roman" w:hAnsi="Times New Roman"/>
          <w:sz w:val="20"/>
        </w:rPr>
        <w:t>жным поручение</w:t>
      </w:r>
      <w:r>
        <w:rPr>
          <w:rFonts w:ascii="Times New Roman" w:hAnsi="Times New Roman"/>
          <w:sz w:val="20"/>
        </w:rPr>
        <w:t>м в течение ______ (__________________) календарных дней с момента отгрузки товара со склада Поставщика.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Общая стоимость настоящего договора складывается из суммы стоимости партий Товаров, поставленных Поставщиком на протяжении срока действия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оговора</w:t>
      </w:r>
      <w:r>
        <w:rPr>
          <w:sz w:val="20"/>
          <w:szCs w:val="20"/>
        </w:rPr>
        <w:t xml:space="preserve"> и отраж</w:t>
      </w:r>
      <w:r>
        <w:rPr>
          <w:sz w:val="20"/>
          <w:szCs w:val="20"/>
        </w:rPr>
        <w:t>ё</w:t>
      </w:r>
      <w:r>
        <w:rPr>
          <w:sz w:val="20"/>
          <w:szCs w:val="20"/>
        </w:rPr>
        <w:t>нных в ТТН.</w:t>
      </w:r>
    </w:p>
    <w:p w:rsidR="00B8544F" w:rsidRDefault="008A18E3">
      <w:pPr>
        <w:tabs>
          <w:tab w:val="left" w:pos="-540"/>
        </w:tabs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4.4. Стороны в течение срока действия настоящего Договора, но не реже одного раза квартал, осуществляют сверку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тов. Сторона, получившая Акт сверки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тов, обязана в 10-дневный срок его рассмотреть и подписать, а при наличии возражений </w:t>
      </w:r>
      <w:r>
        <w:rPr>
          <w:sz w:val="20"/>
          <w:szCs w:val="20"/>
        </w:rPr>
        <w:noBreakHyphen/>
        <w:t xml:space="preserve"> известить о них в течение 10-ти дней в письменном виде Сторону, представившую Акт сверки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тов, в противном случае по истечении вышеуказанного срока Акт сверки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</w:t>
      </w:r>
      <w:r>
        <w:rPr>
          <w:sz w:val="20"/>
          <w:szCs w:val="20"/>
        </w:rPr>
        <w:t>ов будет считаться подписанным надлежащим образом Стороной, в чей адрес он был представлен.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4.5. При несвоевременной оплате поставленного Товара, Покупатель уплачивает Поставщику пеню в размере 0,15 % от стоимости неоплаченного Товара за каждый день просро</w:t>
      </w:r>
      <w:r>
        <w:rPr>
          <w:sz w:val="20"/>
          <w:szCs w:val="20"/>
        </w:rPr>
        <w:t>чки.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4.6. При неоплате Товара свыше 50 (пятидесяти) календарных дней с момента поставки, Покупатель уплачивает Поставщику пеню в размере 0,3 % от стоимости неоплаченного в срок Товара за каждый день просрочки.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4.7. В случае нарушения Покупателем сроков опл</w:t>
      </w:r>
      <w:r>
        <w:rPr>
          <w:sz w:val="20"/>
          <w:szCs w:val="20"/>
        </w:rPr>
        <w:t xml:space="preserve">аты за поставленный Товар, Поставщик имеет право приостановить отгрузку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 полного погашения просроченной дебиторской задолженности </w:t>
      </w:r>
      <w:r>
        <w:rPr>
          <w:sz w:val="20"/>
          <w:szCs w:val="20"/>
        </w:rPr>
        <w:t>и/или перевести Покупателя на предварительную оплату. Поставщик обязан направить Покупателю уведомление об изменении указанн</w:t>
      </w:r>
      <w:r>
        <w:rPr>
          <w:sz w:val="20"/>
          <w:szCs w:val="20"/>
        </w:rPr>
        <w:t xml:space="preserve">ых условий договора. Изменения в договор вступают в силу с даты отправления соответствующего уведомления Поставщиком. 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4.8. В случае простоя автотранспорта Поставщика более 1 часа в пункте разгрузки Покупателя с момента прибытия, последний уплачивает Поста</w:t>
      </w:r>
      <w:r>
        <w:rPr>
          <w:sz w:val="20"/>
          <w:szCs w:val="20"/>
        </w:rPr>
        <w:t>вщику штраф в размере 3 (тр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х) базовых величин за каждый </w:t>
      </w:r>
      <w:r>
        <w:rPr>
          <w:sz w:val="20"/>
          <w:szCs w:val="20"/>
        </w:rPr>
        <w:t xml:space="preserve">начавшийся </w:t>
      </w:r>
      <w:r>
        <w:rPr>
          <w:sz w:val="20"/>
          <w:szCs w:val="20"/>
        </w:rPr>
        <w:t>час простоя.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. В случае изменения местонахождения, платёжных и почтовых реквизитов, наименования каждая из 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торон обязуется в течение 5 (пяти) календарных дней уведомить другую сторону </w:t>
      </w:r>
      <w:r>
        <w:rPr>
          <w:sz w:val="20"/>
          <w:szCs w:val="20"/>
        </w:rPr>
        <w:t>письменно. В случае реорганизации или ликвидации Покупателя последний обязан в течение 5 (пяти) календарных дней уведомить Поставщика письменно.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. В случае нарушения Покупателем условий </w:t>
      </w:r>
      <w:r>
        <w:rPr>
          <w:sz w:val="20"/>
          <w:szCs w:val="20"/>
        </w:rPr>
        <w:t>Д</w:t>
      </w:r>
      <w:r>
        <w:rPr>
          <w:sz w:val="20"/>
          <w:szCs w:val="20"/>
        </w:rPr>
        <w:t>оговора, повл</w:t>
      </w:r>
      <w:r>
        <w:rPr>
          <w:sz w:val="20"/>
          <w:szCs w:val="20"/>
        </w:rPr>
        <w:t>ё</w:t>
      </w:r>
      <w:r>
        <w:rPr>
          <w:sz w:val="20"/>
          <w:szCs w:val="20"/>
        </w:rPr>
        <w:t>кших за собой негативные последствия для Поставщика, Покупатель возмещает Поставщику понесённые убытки и расходы в полном объёме.</w:t>
      </w:r>
    </w:p>
    <w:p w:rsidR="00B8544F" w:rsidRDefault="008A18E3">
      <w:pPr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>1</w:t>
      </w:r>
      <w:r>
        <w:rPr>
          <w:sz w:val="20"/>
          <w:szCs w:val="20"/>
        </w:rPr>
        <w:t>. Стороны договорились, что электронный счет-фактура (далее – ЭСЧФ) является обязательным электронным документом, служащим</w:t>
      </w:r>
      <w:r>
        <w:rPr>
          <w:sz w:val="20"/>
          <w:szCs w:val="20"/>
        </w:rPr>
        <w:t xml:space="preserve"> основанием для осуществления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тов по налогу на добавленную стоимость между Покупателем и Поставщиком и принятия к вычету сумм налога. Поставщик обязуется в отношении каждого оборота по реализации </w:t>
      </w:r>
      <w:r>
        <w:rPr>
          <w:sz w:val="20"/>
          <w:szCs w:val="20"/>
        </w:rPr>
        <w:t>Т</w:t>
      </w:r>
      <w:r>
        <w:rPr>
          <w:sz w:val="20"/>
          <w:szCs w:val="20"/>
        </w:rPr>
        <w:t>оваров в порядке и сроки, предусмотренные ст.131 Налог</w:t>
      </w:r>
      <w:r>
        <w:rPr>
          <w:sz w:val="20"/>
          <w:szCs w:val="20"/>
        </w:rPr>
        <w:t>ового кодекса Республики Беларусь, выставить ЭСЧФ Покупателю или направить на Портал МНС Республики Беларусь. ЭСЧФ выставляется не ранее дня поставки товара и не позднее 10-го числа месяца, следующего за месяце</w:t>
      </w:r>
      <w:r>
        <w:rPr>
          <w:sz w:val="20"/>
          <w:szCs w:val="20"/>
        </w:rPr>
        <w:t>м, в котором был отгружен Товар.</w:t>
      </w:r>
    </w:p>
    <w:p w:rsidR="00B8544F" w:rsidRDefault="008A18E3">
      <w:pPr>
        <w:tabs>
          <w:tab w:val="left" w:pos="-540"/>
        </w:tabs>
        <w:ind w:right="-5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ПОРЯДОК РА</w:t>
      </w:r>
      <w:r>
        <w:rPr>
          <w:b/>
          <w:sz w:val="20"/>
          <w:szCs w:val="20"/>
        </w:rPr>
        <w:t>ЗРЕШЕНИЯ СПОРОВ</w:t>
      </w:r>
    </w:p>
    <w:p w:rsidR="00B8544F" w:rsidRPr="00DF36A9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5.1. Все споры и разногласия, которые могут возникнуть из настоящего Договора или в связи с ним, будут регулироваться Сторонами пут</w:t>
      </w:r>
      <w:r>
        <w:rPr>
          <w:sz w:val="20"/>
          <w:szCs w:val="20"/>
        </w:rPr>
        <w:t>ё</w:t>
      </w:r>
      <w:r>
        <w:rPr>
          <w:sz w:val="20"/>
          <w:szCs w:val="20"/>
        </w:rPr>
        <w:t>м взаимных переговоров. В случае если споры и разногласия не будут разрешены пут</w:t>
      </w:r>
      <w:r>
        <w:rPr>
          <w:sz w:val="20"/>
          <w:szCs w:val="20"/>
        </w:rPr>
        <w:t>ё</w:t>
      </w:r>
      <w:r>
        <w:rPr>
          <w:sz w:val="20"/>
          <w:szCs w:val="20"/>
        </w:rPr>
        <w:t xml:space="preserve">м </w:t>
      </w:r>
      <w:r>
        <w:rPr>
          <w:sz w:val="20"/>
          <w:szCs w:val="20"/>
        </w:rPr>
        <w:lastRenderedPageBreak/>
        <w:t>переговоров, они будут по</w:t>
      </w:r>
      <w:r>
        <w:rPr>
          <w:sz w:val="20"/>
          <w:szCs w:val="20"/>
        </w:rPr>
        <w:t xml:space="preserve">длежать разрешению в экономическом суде города Минска в порядке, </w:t>
      </w:r>
      <w:proofErr w:type="gramStart"/>
      <w:r>
        <w:rPr>
          <w:sz w:val="20"/>
          <w:szCs w:val="20"/>
        </w:rPr>
        <w:t>предусмотренном  законодательством</w:t>
      </w:r>
      <w:proofErr w:type="gramEnd"/>
      <w:r>
        <w:rPr>
          <w:sz w:val="20"/>
          <w:szCs w:val="20"/>
        </w:rPr>
        <w:t xml:space="preserve"> Республики Беларусь.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Досудебный порядок урегулирования спора является обязательным. Срок рассмотрения претензионного письма</w:t>
      </w:r>
      <w:r>
        <w:rPr>
          <w:sz w:val="20"/>
          <w:szCs w:val="20"/>
        </w:rPr>
        <w:t xml:space="preserve"> (претензии)</w:t>
      </w:r>
      <w:r>
        <w:rPr>
          <w:sz w:val="20"/>
          <w:szCs w:val="20"/>
        </w:rPr>
        <w:t xml:space="preserve"> составляет 10 (десят</w:t>
      </w:r>
      <w:r>
        <w:rPr>
          <w:sz w:val="20"/>
          <w:szCs w:val="20"/>
        </w:rPr>
        <w:t>ь) календарных дней с момента его получения</w:t>
      </w:r>
      <w:r w:rsidRPr="00DF36A9">
        <w:rPr>
          <w:sz w:val="20"/>
          <w:szCs w:val="20"/>
        </w:rPr>
        <w:t>.</w:t>
      </w:r>
    </w:p>
    <w:p w:rsidR="00B8544F" w:rsidRPr="00DF36A9" w:rsidRDefault="00B8544F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</w:p>
    <w:p w:rsidR="00B8544F" w:rsidRDefault="008A18E3">
      <w:pPr>
        <w:tabs>
          <w:tab w:val="left" w:pos="-540"/>
        </w:tabs>
        <w:ind w:right="-5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СРОКИ, ПОРЯДОК ИЗМЕНЕНИЯ И РАСТОРЖЕНИЯ ДОГОВОРА</w:t>
      </w:r>
    </w:p>
    <w:p w:rsidR="00B8544F" w:rsidRDefault="008A18E3">
      <w:pPr>
        <w:pStyle w:val="ConsPlusNonformat"/>
        <w:widowControl/>
        <w:tabs>
          <w:tab w:val="left" w:pos="-540"/>
        </w:tabs>
        <w:ind w:right="-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подписания и действует по </w:t>
      </w:r>
      <w:r>
        <w:rPr>
          <w:rFonts w:ascii="Times New Roman" w:hAnsi="Times New Roman" w:cs="Times New Roman"/>
        </w:rPr>
        <w:t>31 декабря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года, а в части неисполненных обязательств – до полного исполнения с</w:t>
      </w:r>
      <w:r>
        <w:rPr>
          <w:rFonts w:ascii="Times New Roman" w:hAnsi="Times New Roman" w:cs="Times New Roman"/>
        </w:rPr>
        <w:t xml:space="preserve">торонами условий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оговора. В случае если ни одна из сторон за 30 (тридцать) календарных дней до окончания действия настоящего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в письменной форме не сообщит о желании его расторгнуть, данный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 считается пролонгированным на каждый последующий </w:t>
      </w:r>
      <w:r>
        <w:rPr>
          <w:rFonts w:ascii="Times New Roman" w:hAnsi="Times New Roman" w:cs="Times New Roman"/>
        </w:rPr>
        <w:t>календарный год</w:t>
      </w:r>
      <w:r>
        <w:rPr>
          <w:rFonts w:ascii="Times New Roman" w:hAnsi="Times New Roman" w:cs="Times New Roman"/>
        </w:rPr>
        <w:t xml:space="preserve"> неограниченное количество раз</w:t>
      </w:r>
      <w:r>
        <w:rPr>
          <w:rFonts w:ascii="Times New Roman" w:hAnsi="Times New Roman" w:cs="Times New Roman"/>
        </w:rPr>
        <w:t>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6.2. Документы, переданные с использованием средств факсимильной связи, имеют юридическую силу, что не освобождает Стороны от последующего предоставления друг другу оригиналов документов.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  <w:t>6.3. Все дополнения и</w:t>
      </w:r>
      <w:r>
        <w:rPr>
          <w:sz w:val="20"/>
          <w:szCs w:val="20"/>
        </w:rPr>
        <w:t>ли изменения условий настоящего Договора производятся только по соглашению Сторон и оформляются соответствующими письменными документами.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6.4. Настоящий Договор может быть расторгнут по инициативе любой из Сторон при условии направления ею уведомления о ра</w:t>
      </w:r>
      <w:r>
        <w:rPr>
          <w:sz w:val="20"/>
          <w:szCs w:val="20"/>
        </w:rPr>
        <w:t>сторжении Договора не позднее чем за 30 (тридцать) календарных дней до его расторжения.</w:t>
      </w:r>
    </w:p>
    <w:p w:rsidR="00B8544F" w:rsidRDefault="00B8544F">
      <w:pPr>
        <w:tabs>
          <w:tab w:val="left" w:pos="-540"/>
        </w:tabs>
        <w:ind w:right="-5" w:firstLine="540"/>
        <w:jc w:val="center"/>
        <w:rPr>
          <w:b/>
          <w:sz w:val="20"/>
          <w:szCs w:val="20"/>
        </w:rPr>
      </w:pPr>
    </w:p>
    <w:p w:rsidR="00B8544F" w:rsidRDefault="008A18E3">
      <w:pPr>
        <w:tabs>
          <w:tab w:val="left" w:pos="-540"/>
        </w:tabs>
        <w:ind w:right="-5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ОБСТОЯТЕЛЬСТВА НЕПРЕОДОЛИМОЙ СИЛЫ</w:t>
      </w:r>
    </w:p>
    <w:p w:rsidR="00B8544F" w:rsidRDefault="008A18E3">
      <w:pPr>
        <w:tabs>
          <w:tab w:val="left" w:pos="-540"/>
        </w:tabs>
        <w:ind w:right="-5"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это н</w:t>
      </w:r>
      <w:r>
        <w:rPr>
          <w:sz w:val="20"/>
          <w:szCs w:val="20"/>
        </w:rPr>
        <w:t>еисполнение явилось следствием обстоятельств непреодолимой силы, возникших после заключения настоящего Договора, которые Стороны не могли предвидеть или предотвратить.</w:t>
      </w:r>
    </w:p>
    <w:p w:rsidR="00B8544F" w:rsidRDefault="00B8544F">
      <w:pPr>
        <w:ind w:right="21" w:firstLine="180"/>
        <w:jc w:val="center"/>
        <w:rPr>
          <w:b/>
          <w:sz w:val="20"/>
          <w:szCs w:val="20"/>
        </w:rPr>
      </w:pPr>
    </w:p>
    <w:p w:rsidR="00B8544F" w:rsidRDefault="008A18E3">
      <w:pPr>
        <w:ind w:right="21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ДОПОЛНИТЕЛЬНЫЕ УСЛОВИЯ</w:t>
      </w:r>
    </w:p>
    <w:p w:rsidR="00B8544F" w:rsidRDefault="008A18E3"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К настоящему Договору прилагаются копии свидетельств о государственной регистрации Сторон и другие необходимые документы, заверенные надлежащим образом.</w:t>
      </w:r>
    </w:p>
    <w:p w:rsidR="00B8544F" w:rsidRDefault="008A18E3"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8.2. Во всем остальном, что не предусмотрено условиями настоящего Договора, Стороны руководствуютс</w:t>
      </w:r>
      <w:r>
        <w:rPr>
          <w:sz w:val="20"/>
          <w:szCs w:val="20"/>
        </w:rPr>
        <w:t>я законодательством Республики Беларусь.</w:t>
      </w:r>
    </w:p>
    <w:p w:rsidR="00B8544F" w:rsidRDefault="008A18E3"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будет считаться исполненным надлежащим образом после выполнения взаимных обязательств и урегулирования всех расч</w:t>
      </w:r>
      <w:r>
        <w:rPr>
          <w:sz w:val="20"/>
          <w:szCs w:val="20"/>
        </w:rPr>
        <w:t>ё</w:t>
      </w:r>
      <w:r>
        <w:rPr>
          <w:sz w:val="20"/>
          <w:szCs w:val="20"/>
        </w:rPr>
        <w:t>тов между Сторонами.</w:t>
      </w:r>
    </w:p>
    <w:p w:rsidR="00B8544F" w:rsidRDefault="008A18E3"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8544F" w:rsidRDefault="008A18E3">
      <w:pPr>
        <w:pStyle w:val="ConsPlusNormal"/>
        <w:ind w:firstLine="567"/>
        <w:jc w:val="both"/>
      </w:pPr>
      <w:r>
        <w:t>8.5. Все приложения и дополнения к настоящему Договору являются неотъемлемой его частью.</w:t>
      </w:r>
    </w:p>
    <w:p w:rsidR="00B8544F" w:rsidRDefault="00B8544F">
      <w:pPr>
        <w:ind w:right="-5" w:firstLine="180"/>
        <w:jc w:val="center"/>
        <w:rPr>
          <w:b/>
          <w:sz w:val="20"/>
          <w:szCs w:val="20"/>
        </w:rPr>
      </w:pPr>
    </w:p>
    <w:p w:rsidR="00B8544F" w:rsidRDefault="008A18E3">
      <w:pPr>
        <w:ind w:right="-5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ЮРИДИЧЕСКИЕ АДРЕСА СТОРОН И БА</w:t>
      </w:r>
      <w:r>
        <w:rPr>
          <w:b/>
          <w:sz w:val="20"/>
          <w:szCs w:val="20"/>
        </w:rPr>
        <w:t>НКОВСКИЕ РЕКВИЗИТЫ</w:t>
      </w:r>
    </w:p>
    <w:tbl>
      <w:tblPr>
        <w:tblpPr w:leftFromText="180" w:rightFromText="180" w:vertAnchor="text" w:horzAnchor="margin" w:tblpXSpec="center" w:tblpY="182"/>
        <w:tblW w:w="10078" w:type="dxa"/>
        <w:tblLayout w:type="fixed"/>
        <w:tblLook w:val="04A0" w:firstRow="1" w:lastRow="0" w:firstColumn="1" w:lastColumn="0" w:noHBand="0" w:noVBand="1"/>
      </w:tblPr>
      <w:tblGrid>
        <w:gridCol w:w="5148"/>
        <w:gridCol w:w="4930"/>
      </w:tblGrid>
      <w:tr w:rsidR="00B8544F">
        <w:tc>
          <w:tcPr>
            <w:tcW w:w="5148" w:type="dxa"/>
          </w:tcPr>
          <w:p w:rsidR="00B8544F" w:rsidRDefault="008A18E3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930" w:type="dxa"/>
          </w:tcPr>
          <w:p w:rsidR="00B8544F" w:rsidRDefault="008A18E3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  <w:r>
              <w:rPr>
                <w:sz w:val="20"/>
                <w:szCs w:val="20"/>
              </w:rPr>
              <w:t>:</w:t>
            </w: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СОАО «Коммунарка» 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220033, г. Минск ул. </w:t>
            </w:r>
            <w:proofErr w:type="spellStart"/>
            <w:r>
              <w:rPr>
                <w:sz w:val="20"/>
                <w:szCs w:val="20"/>
              </w:rPr>
              <w:t>Аранская</w:t>
            </w:r>
            <w:proofErr w:type="spellEnd"/>
            <w:r>
              <w:rPr>
                <w:sz w:val="20"/>
                <w:szCs w:val="20"/>
              </w:rPr>
              <w:t>, 18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УНН 100088732  ОКПО 00390449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  <w:lang w:val="en-US"/>
              </w:rPr>
              <w:t>BY</w:t>
            </w: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BELB</w:t>
            </w:r>
            <w:r>
              <w:rPr>
                <w:sz w:val="20"/>
                <w:szCs w:val="20"/>
              </w:rPr>
              <w:t>30120060480080226000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«Банк </w:t>
            </w:r>
            <w:proofErr w:type="spellStart"/>
            <w:r>
              <w:rPr>
                <w:sz w:val="20"/>
                <w:szCs w:val="20"/>
              </w:rPr>
              <w:t>БелВЭБ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gramStart"/>
            <w:r>
              <w:rPr>
                <w:sz w:val="20"/>
                <w:szCs w:val="20"/>
              </w:rPr>
              <w:t xml:space="preserve">БИК  </w:t>
            </w:r>
            <w:r>
              <w:rPr>
                <w:sz w:val="20"/>
                <w:szCs w:val="20"/>
                <w:lang w:val="en-US"/>
              </w:rPr>
              <w:t>BELBBY</w:t>
            </w:r>
            <w:proofErr w:type="gramEnd"/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г.Минск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пр.Победителей</w:t>
            </w:r>
            <w:proofErr w:type="spellEnd"/>
            <w:r>
              <w:rPr>
                <w:sz w:val="20"/>
                <w:szCs w:val="20"/>
              </w:rPr>
              <w:t>, 29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  <w:lang w:val="en-US"/>
              </w:rPr>
              <w:t>BY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AKBB</w:t>
            </w:r>
            <w:r>
              <w:rPr>
                <w:sz w:val="20"/>
                <w:szCs w:val="20"/>
              </w:rPr>
              <w:t>30125240095390000000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ЦБУ № 527 ОАО «АСБ </w:t>
            </w:r>
            <w:proofErr w:type="spellStart"/>
            <w:r>
              <w:rPr>
                <w:sz w:val="20"/>
                <w:szCs w:val="20"/>
              </w:rPr>
              <w:t>Беларусбанк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  <w:lang w:val="en-US"/>
              </w:rPr>
              <w:t>AKBBBY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ул. </w:t>
            </w:r>
            <w:proofErr w:type="spellStart"/>
            <w:r>
              <w:rPr>
                <w:sz w:val="20"/>
                <w:szCs w:val="20"/>
              </w:rPr>
              <w:t>Воронянского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8544F">
        <w:tc>
          <w:tcPr>
            <w:tcW w:w="5148" w:type="dxa"/>
          </w:tcPr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продаж: г. Минск т/ф. </w:t>
            </w:r>
            <w:r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 xml:space="preserve">-45-74,  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область: </w:t>
            </w:r>
            <w:r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 xml:space="preserve">-45-75 </w:t>
            </w:r>
          </w:p>
          <w:p w:rsidR="00B8544F" w:rsidRDefault="008A18E3">
            <w:pPr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>
                <w:rPr>
                  <w:sz w:val="20"/>
                  <w:szCs w:val="20"/>
                </w:rPr>
                <w:t>sales@kommunarka.by</w:t>
              </w:r>
            </w:hyperlink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Бухгалтерия: </w:t>
            </w:r>
            <w:r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 xml:space="preserve">-61-07 </w:t>
            </w: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качества: т. 2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-12-98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8544F">
        <w:tc>
          <w:tcPr>
            <w:tcW w:w="5148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</w:t>
            </w:r>
            <w:r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 xml:space="preserve">/    </w:t>
            </w:r>
          </w:p>
        </w:tc>
        <w:tc>
          <w:tcPr>
            <w:tcW w:w="4930" w:type="dxa"/>
          </w:tcPr>
          <w:p w:rsidR="00B8544F" w:rsidRDefault="00B8544F">
            <w:pPr>
              <w:ind w:right="-5"/>
              <w:jc w:val="both"/>
              <w:rPr>
                <w:sz w:val="20"/>
                <w:szCs w:val="20"/>
              </w:rPr>
            </w:pPr>
          </w:p>
          <w:p w:rsidR="00B8544F" w:rsidRDefault="008A18E3"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______________________/_____________________/</w:t>
            </w:r>
          </w:p>
        </w:tc>
      </w:tr>
    </w:tbl>
    <w:p w:rsidR="00B8544F" w:rsidRDefault="00B8544F">
      <w:pPr>
        <w:rPr>
          <w:sz w:val="20"/>
          <w:szCs w:val="20"/>
        </w:rPr>
        <w:sectPr w:rsidR="00B8544F">
          <w:headerReference w:type="default" r:id="rId12"/>
          <w:footerReference w:type="even" r:id="rId13"/>
          <w:footerReference w:type="default" r:id="rId14"/>
          <w:pgSz w:w="11906" w:h="16838"/>
          <w:pgMar w:top="179" w:right="567" w:bottom="567" w:left="1134" w:header="709" w:footer="864" w:gutter="0"/>
          <w:cols w:space="708"/>
          <w:docGrid w:linePitch="360"/>
        </w:sectPr>
      </w:pPr>
    </w:p>
    <w:p w:rsidR="00B8544F" w:rsidRDefault="00B8544F">
      <w:pPr>
        <w:rPr>
          <w:sz w:val="20"/>
          <w:szCs w:val="20"/>
        </w:rPr>
      </w:pPr>
    </w:p>
    <w:sectPr w:rsidR="00B8544F">
      <w:footerReference w:type="default" r:id="rId15"/>
      <w:pgSz w:w="11906" w:h="16838"/>
      <w:pgMar w:top="659" w:right="567" w:bottom="567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4F" w:rsidRDefault="008A18E3">
      <w:r>
        <w:separator/>
      </w:r>
    </w:p>
  </w:endnote>
  <w:endnote w:type="continuationSeparator" w:id="0">
    <w:p w:rsidR="00B8544F" w:rsidRDefault="008A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F" w:rsidRDefault="008A18E3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8544F" w:rsidRDefault="00B8544F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F" w:rsidRDefault="008A18E3">
    <w:pPr>
      <w:pStyle w:val="afa"/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44F" w:rsidRDefault="008A18E3">
                          <w:pPr>
                            <w:pStyle w:val="af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F36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DbBz7egIAACoFAAAOAAAAAAAA&#10;AAAAAAAAAC4CAABkcnMvZTJvRG9jLnhtbFBLAQItABQABgAIAAAAIQBxqtG51wAAAAUBAAAPAAAA&#10;AAAAAAAAAAAAANQEAABkcnMvZG93bnJldi54bWxQSwUGAAAAAAQABADzAAAA2AUAAAAA&#10;" filled="f" stroked="f" strokeweight=".5pt">
              <v:textbox style="mso-fit-shape-to-text:t" inset="0,0,0,0">
                <w:txbxContent>
                  <w:p w:rsidR="00B8544F" w:rsidRDefault="008A18E3">
                    <w:pPr>
                      <w:pStyle w:val="af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F36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6"/>
      </w:rPr>
      <w:t>Поставщик</w:t>
    </w:r>
    <w:r>
      <w:rPr>
        <w:sz w:val="16"/>
      </w:rPr>
      <w:t>: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Покупатель:</w:t>
    </w:r>
  </w:p>
  <w:p w:rsidR="00B8544F" w:rsidRDefault="00B8544F">
    <w:pPr>
      <w:pStyle w:val="afa"/>
      <w:jc w:val="both"/>
      <w:rPr>
        <w:sz w:val="16"/>
      </w:rPr>
    </w:pPr>
  </w:p>
  <w:p w:rsidR="00B8544F" w:rsidRDefault="008A18E3">
    <w:pPr>
      <w:pStyle w:val="afa"/>
      <w:tabs>
        <w:tab w:val="clear" w:pos="9355"/>
        <w:tab w:val="right" w:pos="10080"/>
      </w:tabs>
      <w:jc w:val="both"/>
      <w:rPr>
        <w:sz w:val="16"/>
      </w:rPr>
    </w:pPr>
    <w:r>
      <w:rPr>
        <w:sz w:val="16"/>
      </w:rPr>
      <w:t>__________________/_______________________/</w:t>
    </w:r>
    <w:r>
      <w:rPr>
        <w:sz w:val="16"/>
      </w:rPr>
      <w:tab/>
      <w:t xml:space="preserve">          </w:t>
    </w:r>
    <w:r>
      <w:rPr>
        <w:sz w:val="16"/>
      </w:rPr>
      <w:t xml:space="preserve">                                                                                        ______________/____________________/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F" w:rsidRDefault="00B8544F">
    <w:pPr>
      <w:pStyle w:val="afa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4F" w:rsidRDefault="008A18E3">
      <w:r>
        <w:separator/>
      </w:r>
    </w:p>
  </w:footnote>
  <w:footnote w:type="continuationSeparator" w:id="0">
    <w:p w:rsidR="00B8544F" w:rsidRDefault="008A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4F" w:rsidRDefault="00B8544F">
    <w:pPr>
      <w:pStyle w:val="ac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4F"/>
    <w:rsid w:val="008A18E3"/>
    <w:rsid w:val="00B8544F"/>
    <w:rsid w:val="00D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7EEB3-450E-4B5F-B7CA-FB274B59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ody Text"/>
    <w:basedOn w:val="a"/>
    <w:link w:val="af9"/>
    <w:qFormat/>
    <w:pPr>
      <w:widowControl w:val="0"/>
      <w:spacing w:after="120"/>
    </w:pPr>
    <w:rPr>
      <w:rFonts w:ascii="Arial" w:hAnsi="Arial"/>
      <w:szCs w:val="20"/>
    </w:rPr>
  </w:style>
  <w:style w:type="paragraph" w:styleId="afa">
    <w:name w:val="footer"/>
    <w:basedOn w:val="a"/>
    <w:link w:val="afb"/>
    <w:uiPriority w:val="99"/>
    <w:qFormat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semiHidden/>
    <w:unhideWhenUsed/>
    <w:qFormat/>
    <w:pPr>
      <w:tabs>
        <w:tab w:val="center" w:pos="4153"/>
        <w:tab w:val="right" w:pos="8306"/>
      </w:tabs>
    </w:pPr>
  </w:style>
  <w:style w:type="character" w:styleId="afc">
    <w:name w:val="page number"/>
    <w:basedOn w:val="a0"/>
    <w:qFormat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customStyle="1" w:styleId="afb">
    <w:name w:val="Нижний колонтитул Знак"/>
    <w:basedOn w:val="a0"/>
    <w:link w:val="af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Pr>
      <w:rFonts w:eastAsia="Times New Roman"/>
    </w:rPr>
  </w:style>
  <w:style w:type="character" w:customStyle="1" w:styleId="af9">
    <w:name w:val="Основной текст Знак"/>
    <w:basedOn w:val="a0"/>
    <w:link w:val="af8"/>
    <w:qFormat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ildberri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F%D0%BD%D0%B4%D0%B5%D0%BA%D1%81.%D0%9C%D0%B0%D1%80%D0%BA%D0%B5%D1%8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es@kommunarka.b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ru.wikipedia.org/wiki/%D0%A1%D0%B1%D0%B5%D1%80%D0%9C%D0%B5%D0%B3%D0%B0%D0%9C%D0%B0%D1%80%D0%BA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Oz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№___________</vt:lpstr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№___________</dc:title>
  <dc:creator>Белоус Федор Тадеушевич</dc:creator>
  <cp:lastModifiedBy>Кучер София Игоревна</cp:lastModifiedBy>
  <cp:revision>2</cp:revision>
  <dcterms:created xsi:type="dcterms:W3CDTF">2023-03-09T07:19:00Z</dcterms:created>
  <dcterms:modified xsi:type="dcterms:W3CDTF">2023-03-09T07:19:00Z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A38AC2E8A0D346278DA293ED2A9C3E59</vt:lpwstr>
  </property>
</Properties>
</file>